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результатам проведенной независимой оценки, в ходе которой оценивалось качество оказания услуг девяти организаций социального обслуживания Камчатского края из числа Комплексных центров социального обслуживания за 2016 год, составлен следующий рейтинг организаций социального обслуживания населения Камчатского края: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Итоговая таблица</w:t>
      </w:r>
    </w:p>
    <w:tbl>
      <w:tblPr>
        <w:tblW w:w="153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6"/>
        <w:gridCol w:w="1524"/>
        <w:gridCol w:w="1629"/>
        <w:gridCol w:w="1497"/>
        <w:gridCol w:w="1604"/>
        <w:gridCol w:w="1524"/>
        <w:gridCol w:w="1497"/>
        <w:gridCol w:w="1497"/>
        <w:gridCol w:w="1497"/>
        <w:gridCol w:w="1497"/>
      </w:tblGrid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КГАУ «Комплексный центр социального обслуживания населения 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Вилючинского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городского округа»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КГАУ СЗ Комплексный центр социального обслуживания населения 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Петропавловск-Камчатского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КГАУ СЗ «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КГАУ СЗ «Комплексный центр социального обслуживания 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Усть-Большерецкого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КГАУ СЗ «Комплексный центр социального обслуживания населения 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КГАУ СЗ «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КГАУ СЗ «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Козыревский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КГАУ СЗ «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Паланский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КГАУ СЗ «</w:t>
            </w:r>
            <w:proofErr w:type="spellStart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Быстринский</w:t>
            </w:r>
            <w:proofErr w:type="spellEnd"/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 Открытость и доступность информации об учреждении социального обслуживания</w:t>
            </w:r>
          </w:p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13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2. Комфортность условий и доступность получения </w:t>
            </w: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социальных услуг, в том числе для граждан с ограниченными возможностями здоровья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1,90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3. Время ожидания предоставления социальной услуги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1,50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4. Коммуникативная эффективность организации (доброжелательность, вежливость и профессионализм специалистов) 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2,20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5. Удовлетворенность качеством обслуживания в учреждении социального обслуживания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5,90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24,30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24,10</w:t>
            </w:r>
          </w:p>
        </w:tc>
      </w:tr>
      <w:tr w:rsidR="00DB58FA" w:rsidRPr="00DB58FA" w:rsidTr="00DB58FA">
        <w:tc>
          <w:tcPr>
            <w:tcW w:w="274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Рейтинг по ИТОГУ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8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vAlign w:val="center"/>
            <w:hideMark/>
          </w:tcPr>
          <w:p w:rsidR="00DB58FA" w:rsidRPr="00DB58FA" w:rsidRDefault="00DB58FA" w:rsidP="00DB58FA">
            <w:pPr>
              <w:spacing w:after="176" w:line="294" w:lineRule="atLeast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B58FA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lang w:eastAsia="ru-RU"/>
              </w:rPr>
              <w:t>6</w:t>
            </w:r>
          </w:p>
        </w:tc>
      </w:tr>
    </w:tbl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итогам независимой оценки организациям было рекомендовано проведение  следующих мероприятий, направленных на совершенствование работы, повышение качества и доступности услуг: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b/>
          <w:bCs/>
          <w:color w:val="252525"/>
          <w:sz w:val="21"/>
          <w:lang w:eastAsia="ru-RU"/>
        </w:rPr>
        <w:t> Предложения по улучшению качества работы организаций социального обслуживания населения Камчатского края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1. Организовать работу по оборудованию территорий, прилегающих к организациям социального обслуживания, входных зон, санитарно-гигиенических помещений с учетом требований доступности для </w:t>
      </w:r>
      <w:proofErr w:type="spellStart"/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маломобильных</w:t>
      </w:r>
      <w:proofErr w:type="spellEnd"/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получателей услуг (лиц с нарушением функций слуха, зрения и лиц, использующих для передвижения кресла-коляски).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 Организовать работу по установке в помещениях организаций социального обслуживания видео, аудио информаторов для лиц с нарушением функций слуха и зрения.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 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4. Разработать альтернативные версии официальных сайтов организаций социального обслуживания в сети «Интернет» для инвалидов по зрению.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 Продолжать работу по информированию населения об услугах, оказываемых учреждениями, регулярно размещать и актуализировать информацию о предоставляемых социальных услугах, проводимых мероприятиях, о порядке подачи жалоб по вопросам качества оказания услуг в СМИ, на стендах учреждений, в сети Интернет.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6. Проводить работу в плановом режиме по информационной открытости деятельности организаций, в том числе ведение официальных сайтов, обеспечение наполненности последних актуальной информацией. Продолжить работу с партнерами, СМИ с целью доведения необходимой информации до клиентов, в том числе о формах, видах и порядке оказания социальных услуг, а также возможных вариантах обратной связи.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7. В целях совершенствования работы по повышению уровня информационной открытости: 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гражданин; назначить ответственных сотрудников </w:t>
      </w: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за работу с письмами и обращениями граждан и обучить их оперативному предоставлению ответов на запросы граждан в соответствии с действующим законодательством.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8. Организовать более тесное взаимодействие с общественными организациями и объединениями, увеличить число приглашений общественности к участию в мероприятиях, проводимых учреждениями.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9. Повышать материально-техническое обеспечение учреждения посредством своевременной и качественной подготовки заявок руководителями учреждений в государственные программы Камчатского края. Обеспечить проведение работ, направленных на поддержание в рабочем состоянии имеющейся материально-технической базы учреждений.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10. Внедрять инновационные методы работы; продолжать изучение методической литературы, опыта работы других учреждений (семинары, круглые столы, методические объединения).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11. Проводить работу с персоналом по профилактике «профессионального выгорания», развивать различные формы поощрений в целях стимулирования работников.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12. Разработать план повышения квалификации сотрудников.</w:t>
      </w:r>
    </w:p>
    <w:p w:rsidR="00DB58FA" w:rsidRPr="00DB58FA" w:rsidRDefault="00DB58FA" w:rsidP="00DB58FA">
      <w:pPr>
        <w:shd w:val="clear" w:color="auto" w:fill="FFFFFF"/>
        <w:spacing w:after="176" w:line="294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13. Привести форму планов организаций социального обслуживания по улучшению качества оказания услуг в соответствие с приказом Министерства труда и социальной защиты Российской Федерации №391а</w:t>
      </w:r>
      <w:r w:rsidRPr="00DB58FA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от 30 августа 2013 г.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обслуживания».</w:t>
      </w:r>
    </w:p>
    <w:p w:rsidR="00AF6F81" w:rsidRDefault="00DB58FA"/>
    <w:sectPr w:rsidR="00AF6F81" w:rsidSect="00DB5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8FA"/>
    <w:rsid w:val="0055156B"/>
    <w:rsid w:val="006D5A86"/>
    <w:rsid w:val="00DB58FA"/>
    <w:rsid w:val="00E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FA"/>
    <w:rPr>
      <w:b/>
      <w:bCs/>
    </w:rPr>
  </w:style>
  <w:style w:type="character" w:styleId="a5">
    <w:name w:val="Emphasis"/>
    <w:basedOn w:val="a0"/>
    <w:uiPriority w:val="20"/>
    <w:qFormat/>
    <w:rsid w:val="00DB58FA"/>
    <w:rPr>
      <w:i/>
      <w:iCs/>
    </w:rPr>
  </w:style>
  <w:style w:type="character" w:customStyle="1" w:styleId="apple-converted-space">
    <w:name w:val="apple-converted-space"/>
    <w:basedOn w:val="a0"/>
    <w:rsid w:val="00DB5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2016-10-17T05:10:00Z</dcterms:created>
  <dcterms:modified xsi:type="dcterms:W3CDTF">2016-10-17T05:11:00Z</dcterms:modified>
</cp:coreProperties>
</file>